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2E39C30B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F97911">
        <w:rPr>
          <w:bCs/>
          <w:noProof w:val="0"/>
          <w:sz w:val="24"/>
          <w:szCs w:val="24"/>
        </w:rPr>
        <w:t>00858</w:t>
      </w:r>
    </w:p>
    <w:p w14:paraId="11776FA6" w14:textId="4AEBCD32" w:rsidR="00A209D6" w:rsidRPr="00465587" w:rsidRDefault="00F97911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Elbonia, Online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9376CD">
        <w:rPr>
          <w:rFonts w:eastAsia="SimSun"/>
          <w:bCs/>
          <w:sz w:val="24"/>
          <w:szCs w:val="24"/>
          <w:lang w:eastAsia="zh-CN"/>
        </w:rPr>
        <w:t>24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 xml:space="preserve">February 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6 March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32BD8B8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97911">
        <w:rPr>
          <w:rFonts w:cs="Arial"/>
          <w:b/>
          <w:bCs/>
          <w:sz w:val="24"/>
        </w:rPr>
        <w:t>5.4.1.1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425F7B7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97911" w:rsidRPr="00F97911">
        <w:rPr>
          <w:rFonts w:ascii="Arial" w:hAnsi="Arial" w:cs="Arial"/>
          <w:b/>
          <w:bCs/>
          <w:sz w:val="24"/>
        </w:rPr>
        <w:t>Clarification of SSB-ToMeasure</w:t>
      </w:r>
    </w:p>
    <w:p w14:paraId="1F147C23" w14:textId="682C23B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24D28">
        <w:rPr>
          <w:rFonts w:ascii="Arial" w:hAnsi="Arial" w:cs="Arial"/>
          <w:b/>
          <w:bCs/>
          <w:sz w:val="24"/>
        </w:rPr>
        <w:t>NR_NewRAT-Core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824D28">
        <w:rPr>
          <w:rFonts w:ascii="Arial" w:hAnsi="Arial" w:cs="Arial"/>
          <w:b/>
          <w:bCs/>
          <w:sz w:val="24"/>
        </w:rPr>
        <w:t>15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55118AD" w14:textId="1302497F" w:rsidR="00870E33" w:rsidRDefault="00870E33" w:rsidP="00A209D6">
      <w:r>
        <w:t>The way SSB-ToMeasure is treated has been discussed in RAN2</w:t>
      </w:r>
      <w:r w:rsidR="001A69B0">
        <w:t>#108</w:t>
      </w:r>
      <w:r>
        <w:t>. Some decision was made during the meeting. In this document, we present our point of view on the subject and make proposal for the way forward.</w:t>
      </w:r>
    </w:p>
    <w:p w14:paraId="60996CCD" w14:textId="77777777" w:rsidR="00870E33" w:rsidRDefault="00A209D6" w:rsidP="00A209D6">
      <w:pPr>
        <w:pStyle w:val="Heading1"/>
      </w:pPr>
      <w:r w:rsidRPr="006E13D1">
        <w:t>2</w:t>
      </w:r>
      <w:r w:rsidRPr="006E13D1">
        <w:tab/>
      </w:r>
      <w:r w:rsidR="00870E33">
        <w:t>Discussions</w:t>
      </w:r>
    </w:p>
    <w:p w14:paraId="28E95B42" w14:textId="5FF4E8F5" w:rsidR="00870E33" w:rsidRDefault="00870E33" w:rsidP="00870E33">
      <w:r>
        <w:t xml:space="preserve">During RAN2#108 meeting, document </w:t>
      </w:r>
      <w:hyperlink r:id="rId12" w:history="1">
        <w:r w:rsidRPr="00870E33">
          <w:rPr>
            <w:rStyle w:val="Hyperlink"/>
          </w:rPr>
          <w:t>R2-1915423</w:t>
        </w:r>
      </w:hyperlink>
      <w:r>
        <w:t xml:space="preserve"> was discussed. The output in RAN2 Report was: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70E33" w14:paraId="5093C7BD" w14:textId="77777777" w:rsidTr="00870E33">
        <w:tc>
          <w:tcPr>
            <w:tcW w:w="9631" w:type="dxa"/>
          </w:tcPr>
          <w:p w14:paraId="04AF933D" w14:textId="77777777" w:rsidR="00870E33" w:rsidRDefault="00870E33" w:rsidP="00870E33">
            <w:pPr>
              <w:pStyle w:val="Doc-title"/>
            </w:pPr>
            <w:r>
              <w:t>R2-1915423</w:t>
            </w:r>
            <w:r>
              <w:tab/>
              <w:t>On SSB-ToMeasure clarifications</w:t>
            </w:r>
            <w:r>
              <w:tab/>
              <w:t>Ericsson</w:t>
            </w:r>
            <w:r>
              <w:tab/>
              <w:t>discussion</w:t>
            </w:r>
            <w:r>
              <w:tab/>
              <w:t>Rel-15</w:t>
            </w:r>
            <w:r>
              <w:tab/>
              <w:t>NR_newRAT-Core</w:t>
            </w:r>
          </w:p>
          <w:p w14:paraId="5EB04EF8" w14:textId="77777777" w:rsidR="00870E33" w:rsidRDefault="00870E33" w:rsidP="00870E33">
            <w:pPr>
              <w:pStyle w:val="Doc-title"/>
            </w:pPr>
            <w:r>
              <w:t>R2-1915424</w:t>
            </w:r>
            <w:r>
              <w:tab/>
              <w:t>CR to 38.331 on SSB-ToMeasure clarifications</w:t>
            </w:r>
            <w:r>
              <w:tab/>
              <w:t>Ericsson</w:t>
            </w:r>
            <w:r>
              <w:tab/>
              <w:t>CR</w:t>
            </w:r>
            <w:r>
              <w:tab/>
              <w:t>Rel-15</w:t>
            </w:r>
            <w:r>
              <w:tab/>
              <w:t>38.331</w:t>
            </w:r>
            <w:r>
              <w:tab/>
              <w:t>15.7.0</w:t>
            </w:r>
            <w:r>
              <w:tab/>
              <w:t>1370</w:t>
            </w:r>
            <w:r>
              <w:tab/>
              <w:t>-</w:t>
            </w:r>
            <w:r>
              <w:tab/>
              <w:t>F</w:t>
            </w:r>
            <w:r>
              <w:tab/>
              <w:t>NR_newRAT-Core</w:t>
            </w:r>
          </w:p>
          <w:p w14:paraId="2CD268B2" w14:textId="77777777" w:rsidR="00870E33" w:rsidRDefault="00870E33" w:rsidP="00870E33">
            <w:pPr>
              <w:pStyle w:val="Doc-title"/>
            </w:pPr>
            <w:r>
              <w:t>R2-1915425</w:t>
            </w:r>
            <w:r>
              <w:tab/>
              <w:t>CR to 36.331 on SSB-ToMeasure clarifications</w:t>
            </w:r>
            <w:r>
              <w:tab/>
              <w:t>Ericsson</w:t>
            </w:r>
            <w:r>
              <w:tab/>
              <w:t>CR</w:t>
            </w:r>
            <w:r>
              <w:tab/>
              <w:t>Rel-15</w:t>
            </w:r>
            <w:r>
              <w:tab/>
              <w:t>36.331</w:t>
            </w:r>
            <w:r>
              <w:tab/>
              <w:t>15.7.0</w:t>
            </w:r>
            <w:r>
              <w:tab/>
              <w:t>4147</w:t>
            </w:r>
            <w:r>
              <w:tab/>
              <w:t>-</w:t>
            </w:r>
            <w:r>
              <w:tab/>
              <w:t>F</w:t>
            </w:r>
            <w:r>
              <w:tab/>
              <w:t>NR_newRAT-Core</w:t>
            </w:r>
          </w:p>
          <w:p w14:paraId="1F073E05" w14:textId="77777777" w:rsidR="00870E33" w:rsidRDefault="00870E33" w:rsidP="00870E33">
            <w:pPr>
              <w:pStyle w:val="Doc-text2"/>
            </w:pPr>
          </w:p>
          <w:p w14:paraId="73E318FC" w14:textId="77777777" w:rsidR="00870E33" w:rsidRDefault="00870E33" w:rsidP="00870E33">
            <w:pPr>
              <w:pStyle w:val="Doc-text2"/>
            </w:pPr>
            <w:r>
              <w:t>DISCUSSION</w:t>
            </w:r>
          </w:p>
          <w:p w14:paraId="6A426D36" w14:textId="77777777" w:rsidR="00870E33" w:rsidRDefault="00870E33" w:rsidP="00870E33">
            <w:pPr>
              <w:pStyle w:val="Doc-text2"/>
            </w:pPr>
            <w:r>
              <w:t xml:space="preserve">- </w:t>
            </w:r>
            <w:r>
              <w:tab/>
              <w:t xml:space="preserve">Huawei think CR is not needed. </w:t>
            </w:r>
          </w:p>
          <w:p w14:paraId="11649F97" w14:textId="77777777" w:rsidR="00870E33" w:rsidRDefault="00870E33" w:rsidP="00870E33">
            <w:pPr>
              <w:pStyle w:val="Doc-text2"/>
            </w:pPr>
            <w:r>
              <w:t xml:space="preserve">- </w:t>
            </w:r>
            <w:r>
              <w:tab/>
              <w:t xml:space="preserve">MTK think we can agree P1 but think CR is not needed. QC can also agree P1 but think the CRs are not correct. </w:t>
            </w:r>
          </w:p>
          <w:p w14:paraId="5C4B17B4" w14:textId="77777777" w:rsidR="00870E33" w:rsidRDefault="00870E33" w:rsidP="00870E33">
            <w:pPr>
              <w:pStyle w:val="Doc-text2"/>
            </w:pPr>
            <w:r>
              <w:t xml:space="preserve">- </w:t>
            </w:r>
            <w:r>
              <w:tab/>
              <w:t xml:space="preserve">QC think that “within SMTC duration” is R1 text and is ok because if SMTC is not configured, the UE will anyway have a default assumption. </w:t>
            </w:r>
          </w:p>
          <w:p w14:paraId="47D948E7" w14:textId="77777777" w:rsidR="00870E33" w:rsidRPr="001A69B0" w:rsidRDefault="00870E33" w:rsidP="00870E33">
            <w:pPr>
              <w:pStyle w:val="Agreement"/>
              <w:rPr>
                <w:highlight w:val="yellow"/>
              </w:rPr>
            </w:pPr>
            <w:r w:rsidRPr="001A69B0">
              <w:rPr>
                <w:highlight w:val="yellow"/>
              </w:rPr>
              <w:t>RAN2 confirms that the SSB-ToMeasure is based on the absolute SSBIndexes.</w:t>
            </w:r>
          </w:p>
          <w:p w14:paraId="75CEB110" w14:textId="77777777" w:rsidR="00870E33" w:rsidRDefault="00870E33" w:rsidP="00870E33">
            <w:pPr>
              <w:pStyle w:val="Agreement"/>
            </w:pPr>
            <w:r>
              <w:t>Not pursued</w:t>
            </w:r>
          </w:p>
          <w:p w14:paraId="13B6381F" w14:textId="77777777" w:rsidR="00870E33" w:rsidRDefault="00870E33" w:rsidP="00870E33"/>
        </w:tc>
      </w:tr>
    </w:tbl>
    <w:p w14:paraId="5199DA31" w14:textId="77777777" w:rsidR="00870E33" w:rsidRDefault="00870E33" w:rsidP="00870E33"/>
    <w:p w14:paraId="439A08FC" w14:textId="651B9C57" w:rsidR="00870E33" w:rsidRDefault="00870E33" w:rsidP="00A209D6">
      <w:r>
        <w:t>We would like to raise some issues linked with the decision.</w:t>
      </w:r>
    </w:p>
    <w:p w14:paraId="50B6758D" w14:textId="4CAE1DE8" w:rsidR="00870E33" w:rsidRDefault="001A69B0" w:rsidP="00870E33">
      <w:pPr>
        <w:pStyle w:val="Heading2"/>
      </w:pPr>
      <w:r>
        <w:t>2</w:t>
      </w:r>
      <w:r w:rsidR="00870E33" w:rsidRPr="006E13D1">
        <w:t>.1</w:t>
      </w:r>
      <w:r w:rsidR="00870E33" w:rsidRPr="006E13D1">
        <w:tab/>
      </w:r>
      <w:r w:rsidR="00870E33">
        <w:t xml:space="preserve">SMTC and </w:t>
      </w:r>
      <w:r w:rsidR="00215CFF">
        <w:t>unsynchronized</w:t>
      </w:r>
      <w:r w:rsidR="00870E33">
        <w:t xml:space="preserve"> network</w:t>
      </w:r>
    </w:p>
    <w:p w14:paraId="37C4661B" w14:textId="22DF886B" w:rsidR="00870E33" w:rsidRDefault="00870E33" w:rsidP="00870E33">
      <w:r>
        <w:t xml:space="preserve">In the example provided in </w:t>
      </w:r>
      <w:hyperlink r:id="rId13" w:history="1">
        <w:r w:rsidRPr="00870E33">
          <w:rPr>
            <w:rStyle w:val="Hyperlink"/>
          </w:rPr>
          <w:t>R2-1915423</w:t>
        </w:r>
      </w:hyperlink>
      <w:r>
        <w:t xml:space="preserve">, </w:t>
      </w:r>
      <w:r w:rsidR="00957B96">
        <w:t xml:space="preserve">the Cells are not fully synchronized. </w:t>
      </w:r>
      <w:r w:rsidR="00455E1B">
        <w:t>They are not</w:t>
      </w:r>
      <w:r w:rsidR="00957B96">
        <w:t xml:space="preserve"> SFN</w:t>
      </w:r>
      <w:r w:rsidR="008364BE">
        <w:t>-</w:t>
      </w:r>
      <w:r w:rsidR="00455E1B">
        <w:t xml:space="preserve">synchronized but </w:t>
      </w:r>
      <w:r w:rsidR="00C537C3">
        <w:t xml:space="preserve">(only) </w:t>
      </w:r>
      <w:r w:rsidR="00455E1B" w:rsidRPr="00455E1B">
        <w:t xml:space="preserve">frame boundary </w:t>
      </w:r>
      <w:r w:rsidR="008364BE">
        <w:t xml:space="preserve">- </w:t>
      </w:r>
      <w:r w:rsidR="00455E1B" w:rsidRPr="00455E1B">
        <w:t>align</w:t>
      </w:r>
      <w:r w:rsidR="00455E1B">
        <w:t>ed.</w:t>
      </w:r>
    </w:p>
    <w:p w14:paraId="7590E362" w14:textId="70D57AAA" w:rsidR="00957B96" w:rsidRDefault="00957B96" w:rsidP="00870E33">
      <w:r>
        <w:t>This raises two comments about the presented use case:</w:t>
      </w:r>
    </w:p>
    <w:p w14:paraId="0171B2DB" w14:textId="6A4DDAE2" w:rsidR="001A69B0" w:rsidRDefault="00957B96" w:rsidP="001A69B0">
      <w:pPr>
        <w:pStyle w:val="ListParagraph"/>
        <w:numPr>
          <w:ilvl w:val="0"/>
          <w:numId w:val="9"/>
        </w:numPr>
      </w:pPr>
      <w:r>
        <w:t xml:space="preserve">If the Cells can be </w:t>
      </w:r>
      <w:r w:rsidR="00C537C3">
        <w:t xml:space="preserve">only </w:t>
      </w:r>
      <w:r w:rsidR="00455E1B" w:rsidRPr="00455E1B">
        <w:t xml:space="preserve">frame boundary </w:t>
      </w:r>
      <w:r w:rsidR="008364BE">
        <w:t xml:space="preserve">- </w:t>
      </w:r>
      <w:r w:rsidR="00455E1B" w:rsidRPr="00455E1B">
        <w:t>align</w:t>
      </w:r>
      <w:r w:rsidR="00455E1B">
        <w:t xml:space="preserve">ed, </w:t>
      </w:r>
      <w:r>
        <w:t>why not fully synchronize the</w:t>
      </w:r>
      <w:r w:rsidR="00455E1B">
        <w:t>m and have them SFN</w:t>
      </w:r>
      <w:r w:rsidR="008364BE">
        <w:t>-</w:t>
      </w:r>
      <w:r w:rsidR="00455E1B">
        <w:t>aligned?</w:t>
      </w:r>
    </w:p>
    <w:p w14:paraId="745283B2" w14:textId="44CAC132" w:rsidR="00957B96" w:rsidRDefault="00957B96" w:rsidP="00957B96">
      <w:pPr>
        <w:pStyle w:val="ListParagraph"/>
        <w:numPr>
          <w:ilvl w:val="0"/>
          <w:numId w:val="9"/>
        </w:numPr>
      </w:pPr>
      <w:r>
        <w:t>If the Cells are fully unsynchronized</w:t>
      </w:r>
      <w:r w:rsidR="00E36682">
        <w:t xml:space="preserve"> (i.e. neither frame- nor slot-aligned)</w:t>
      </w:r>
      <w:r>
        <w:t xml:space="preserve">, then SMTC should not be used. </w:t>
      </w:r>
      <w:r w:rsidR="00455E1B">
        <w:t>Indeed,</w:t>
      </w:r>
      <w:r>
        <w:t xml:space="preserve"> the shift of synchronization will make the use of SMTC not relevant. In this case, the SSB burst should be scheduled every 5 ms</w:t>
      </w:r>
      <w:r w:rsidR="00E36682">
        <w:t xml:space="preserve"> (to ensure UE will </w:t>
      </w:r>
      <w:r w:rsidR="00EF787D">
        <w:t>be able to find such cells with blind SSB search regardless of the timing)</w:t>
      </w:r>
      <w:r>
        <w:t>.</w:t>
      </w:r>
    </w:p>
    <w:p w14:paraId="04DC8066" w14:textId="47D30298" w:rsidR="009E3CBE" w:rsidRDefault="009E3CBE" w:rsidP="009E3CBE">
      <w:r w:rsidRPr="00455E1B">
        <w:rPr>
          <w:b/>
        </w:rPr>
        <w:lastRenderedPageBreak/>
        <w:t>Observation 1</w:t>
      </w:r>
      <w:r>
        <w:t>: When the cells can be aligned to frame boundary</w:t>
      </w:r>
      <w:r w:rsidR="00681F53">
        <w:t>, they can also be SFN-aligned so</w:t>
      </w:r>
      <w:r>
        <w:t xml:space="preserve"> there is no reason not to align the SSB index as well between cells.</w:t>
      </w:r>
    </w:p>
    <w:p w14:paraId="294C7BF9" w14:textId="727C2493" w:rsidR="00957B96" w:rsidRDefault="001A69B0" w:rsidP="00957B96">
      <w:pPr>
        <w:pStyle w:val="Heading2"/>
      </w:pPr>
      <w:r>
        <w:t>2</w:t>
      </w:r>
      <w:r w:rsidR="00957B96" w:rsidRPr="006E13D1">
        <w:t>.</w:t>
      </w:r>
      <w:r w:rsidR="00455E1B">
        <w:t>2</w:t>
      </w:r>
      <w:r w:rsidR="00957B96" w:rsidRPr="006E13D1">
        <w:tab/>
      </w:r>
      <w:r w:rsidR="00957B96">
        <w:t>Use of  “</w:t>
      </w:r>
      <w:r w:rsidR="00957B96" w:rsidRPr="00957B96">
        <w:t>deriveSSB-IndexFromCell</w:t>
      </w:r>
      <w:r w:rsidR="00957B96">
        <w:t>”</w:t>
      </w:r>
    </w:p>
    <w:p w14:paraId="6CF760AB" w14:textId="5EC62804" w:rsidR="00957B96" w:rsidRDefault="00957B96" w:rsidP="00455E1B">
      <w:bookmarkStart w:id="1" w:name="_Hlk30084522"/>
      <w:r>
        <w:t xml:space="preserve">The parameter </w:t>
      </w:r>
      <w:r w:rsidRPr="00455E1B">
        <w:t>deriveSSB-IndexFromCell</w:t>
      </w:r>
      <w:r>
        <w:t xml:space="preserve">  (BOOLEAN) can be signalled to the UE for </w:t>
      </w:r>
      <w:r w:rsidR="003D3144">
        <w:t xml:space="preserve">both </w:t>
      </w:r>
      <w:r>
        <w:t>Intra</w:t>
      </w:r>
      <w:r w:rsidR="003D3144">
        <w:t>-</w:t>
      </w:r>
      <w:r>
        <w:t xml:space="preserve"> and Inter-frequency </w:t>
      </w:r>
      <w:r w:rsidR="003D3144">
        <w:t xml:space="preserve">NR </w:t>
      </w:r>
      <w:r>
        <w:t>measurements</w:t>
      </w:r>
      <w:r w:rsidR="003D3144">
        <w:t xml:space="preserve">, </w:t>
      </w:r>
      <w:r w:rsidR="00CE6307">
        <w:t xml:space="preserve">and has the following </w:t>
      </w:r>
      <w:r w:rsidR="003D3144">
        <w:t>field description</w:t>
      </w:r>
      <w:r>
        <w:t>.</w:t>
      </w:r>
    </w:p>
    <w:p w14:paraId="08D281A9" w14:textId="77777777" w:rsidR="00E815F6" w:rsidRDefault="00E815F6" w:rsidP="00E815F6">
      <w:pPr>
        <w:autoSpaceDE w:val="0"/>
        <w:autoSpaceDN w:val="0"/>
        <w:ind w:left="1440"/>
        <w:rPr>
          <w:rFonts w:ascii="Arial" w:hAnsi="Arial" w:cs="Arial"/>
          <w:b/>
          <w:bCs/>
          <w:i/>
          <w:iCs/>
          <w:sz w:val="18"/>
          <w:szCs w:val="18"/>
          <w:lang w:eastAsia="zh-CN"/>
        </w:rPr>
      </w:pPr>
      <w:r>
        <w:rPr>
          <w:rFonts w:ascii="Arial" w:hAnsi="Arial" w:cs="Arial"/>
          <w:b/>
          <w:bCs/>
          <w:i/>
          <w:iCs/>
          <w:sz w:val="18"/>
          <w:szCs w:val="18"/>
        </w:rPr>
        <w:t>deriveSSB-IndexFromCell</w:t>
      </w:r>
    </w:p>
    <w:p w14:paraId="2FE5B086" w14:textId="7D660362" w:rsidR="00E815F6" w:rsidRDefault="00E815F6" w:rsidP="00455E1B">
      <w:pPr>
        <w:autoSpaceDE w:val="0"/>
        <w:autoSpaceDN w:val="0"/>
        <w:ind w:left="1440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 xml:space="preserve">This field indicates whether the UE may use the timing of any detected cell on that frequency to derive the SSB index of all neighbour cells on that frequency. </w:t>
      </w:r>
      <w:r w:rsidRPr="00414DC1">
        <w:rPr>
          <w:rFonts w:ascii="Arial" w:hAnsi="Arial" w:cs="Arial"/>
          <w:sz w:val="18"/>
          <w:szCs w:val="18"/>
          <w:highlight w:val="yellow"/>
        </w:rPr>
        <w:t>If this field is set</w:t>
      </w:r>
      <w:r w:rsidR="00455E1B" w:rsidRPr="00414DC1">
        <w:rPr>
          <w:rFonts w:ascii="Arial" w:hAnsi="Arial" w:cs="Arial"/>
          <w:sz w:val="18"/>
          <w:szCs w:val="18"/>
          <w:highlight w:val="yellow"/>
        </w:rPr>
        <w:t xml:space="preserve"> </w:t>
      </w:r>
      <w:r w:rsidRPr="00414DC1">
        <w:rPr>
          <w:rFonts w:ascii="Arial" w:hAnsi="Arial" w:cs="Arial"/>
          <w:sz w:val="18"/>
          <w:szCs w:val="18"/>
          <w:highlight w:val="yellow"/>
        </w:rPr>
        <w:t xml:space="preserve">to </w:t>
      </w:r>
      <w:r w:rsidRPr="00414DC1">
        <w:rPr>
          <w:rFonts w:ascii="Arial" w:hAnsi="Arial" w:cs="Arial"/>
          <w:i/>
          <w:iCs/>
          <w:sz w:val="18"/>
          <w:szCs w:val="18"/>
          <w:highlight w:val="yellow"/>
        </w:rPr>
        <w:t>true</w:t>
      </w:r>
      <w:r w:rsidRPr="00414DC1">
        <w:rPr>
          <w:rFonts w:ascii="Arial" w:hAnsi="Arial" w:cs="Arial"/>
          <w:sz w:val="18"/>
          <w:szCs w:val="18"/>
          <w:highlight w:val="yellow"/>
        </w:rPr>
        <w:t>, the UE assumes SFN and frame boundary alignment across cells on the neighbor frequency as specified in TS 38.133 [14]</w:t>
      </w:r>
      <w:r>
        <w:rPr>
          <w:rFonts w:ascii="Arial" w:hAnsi="Arial" w:cs="Arial"/>
          <w:sz w:val="18"/>
          <w:szCs w:val="18"/>
        </w:rPr>
        <w:t>.</w:t>
      </w:r>
    </w:p>
    <w:p w14:paraId="2AEC1D2E" w14:textId="5D6332C8" w:rsidR="009E3CBE" w:rsidRDefault="009E3CBE" w:rsidP="009E3CBE"/>
    <w:p w14:paraId="41A00F28" w14:textId="416A4A8D" w:rsidR="00455E1B" w:rsidRDefault="00455E1B" w:rsidP="009E3CBE">
      <w:r>
        <w:t xml:space="preserve">As seen above, in the example given in </w:t>
      </w:r>
      <w:hyperlink r:id="rId14" w:history="1">
        <w:r w:rsidRPr="00870E33">
          <w:rPr>
            <w:rStyle w:val="Hyperlink"/>
          </w:rPr>
          <w:t>R2-1915423</w:t>
        </w:r>
      </w:hyperlink>
      <w:r>
        <w:t>, SFN are not aligned between cells.</w:t>
      </w:r>
      <w:r w:rsidR="009C4203">
        <w:t xml:space="preserve"> Therefore, this field cannot be used in such deployments.</w:t>
      </w:r>
    </w:p>
    <w:bookmarkEnd w:id="1"/>
    <w:p w14:paraId="47E5F027" w14:textId="310D51D7" w:rsidR="00455E1B" w:rsidRDefault="00455E1B" w:rsidP="00414DC1">
      <w:r w:rsidRPr="00455E1B">
        <w:rPr>
          <w:b/>
        </w:rPr>
        <w:t xml:space="preserve">Observation </w:t>
      </w:r>
      <w:r>
        <w:rPr>
          <w:b/>
        </w:rPr>
        <w:t>2</w:t>
      </w:r>
      <w:r>
        <w:t xml:space="preserve">: In the example given in </w:t>
      </w:r>
      <w:hyperlink r:id="rId15" w:history="1">
        <w:r w:rsidRPr="00870E33">
          <w:rPr>
            <w:rStyle w:val="Hyperlink"/>
          </w:rPr>
          <w:t>R2-1915423</w:t>
        </w:r>
      </w:hyperlink>
      <w:r>
        <w:t xml:space="preserve">, </w:t>
      </w:r>
      <w:r w:rsidRPr="001A69B0">
        <w:rPr>
          <w:i/>
        </w:rPr>
        <w:t>deriveSSB-IndexFromCell</w:t>
      </w:r>
      <w:r>
        <w:t xml:space="preserve"> option can’t be used.</w:t>
      </w:r>
    </w:p>
    <w:p w14:paraId="02F989A4" w14:textId="5C8981B9" w:rsidR="009E3CBE" w:rsidRDefault="001A69B0" w:rsidP="009E3CBE">
      <w:pPr>
        <w:pStyle w:val="Heading2"/>
      </w:pPr>
      <w:r>
        <w:t>2</w:t>
      </w:r>
      <w:r w:rsidR="009E3CBE" w:rsidRPr="006E13D1">
        <w:t>.</w:t>
      </w:r>
      <w:r w:rsidR="00455E1B">
        <w:t>3</w:t>
      </w:r>
      <w:r w:rsidR="009E3CBE" w:rsidRPr="006E13D1">
        <w:tab/>
      </w:r>
      <w:r w:rsidR="009E3CBE">
        <w:t>Impact on UE</w:t>
      </w:r>
      <w:r w:rsidR="00455E1B">
        <w:t xml:space="preserve"> </w:t>
      </w:r>
      <w:r w:rsidR="00C12E19">
        <w:t>Measurements</w:t>
      </w:r>
    </w:p>
    <w:p w14:paraId="1DD94318" w14:textId="443B3DB1" w:rsidR="009E3CBE" w:rsidRDefault="009E3CBE" w:rsidP="009E3CBE">
      <w:r>
        <w:t xml:space="preserve">The example below is derived from </w:t>
      </w:r>
      <w:hyperlink r:id="rId16" w:history="1">
        <w:r w:rsidRPr="00870E33">
          <w:rPr>
            <w:rStyle w:val="Hyperlink"/>
          </w:rPr>
          <w:t>R2-1915423</w:t>
        </w:r>
      </w:hyperlink>
      <w:r>
        <w:t xml:space="preserve">. </w:t>
      </w:r>
    </w:p>
    <w:p w14:paraId="2FBA87A4" w14:textId="67E607BB" w:rsidR="009E3CBE" w:rsidRDefault="009E3CBE" w:rsidP="009E3CBE"/>
    <w:p w14:paraId="515AB3DB" w14:textId="5B9E96AF" w:rsidR="00455E1B" w:rsidRDefault="00455E1B" w:rsidP="009E3CBE">
      <w:r w:rsidRPr="00455E1B">
        <w:rPr>
          <w:noProof/>
        </w:rPr>
        <w:drawing>
          <wp:inline distT="0" distB="0" distL="0" distR="0" wp14:anchorId="4965E9E2" wp14:editId="7AAA0746">
            <wp:extent cx="6122035" cy="1911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1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E9D5B" w14:textId="4387C627" w:rsidR="001A69B0" w:rsidRPr="001A69B0" w:rsidRDefault="001A69B0" w:rsidP="001A69B0">
      <w:pPr>
        <w:pStyle w:val="TF"/>
      </w:pPr>
      <w:r w:rsidRPr="001A69B0">
        <w:t xml:space="preserve">Figure </w:t>
      </w:r>
      <w:r>
        <w:t>1</w:t>
      </w:r>
      <w:r w:rsidRPr="001A69B0">
        <w:t xml:space="preserve">: </w:t>
      </w:r>
      <w:r>
        <w:t xml:space="preserve">SSB index and SMTC configuration </w:t>
      </w:r>
    </w:p>
    <w:p w14:paraId="5A2AC26D" w14:textId="77B05900" w:rsidR="00FF5756" w:rsidRDefault="00FF5756" w:rsidP="009E3CBE">
      <w:r>
        <w:t xml:space="preserve">If </w:t>
      </w:r>
      <w:r w:rsidRPr="00C12E19">
        <w:rPr>
          <w:i/>
        </w:rPr>
        <w:t>SSB-ToMeasure</w:t>
      </w:r>
      <w:r>
        <w:t xml:space="preserve"> is based on the absolute SSB</w:t>
      </w:r>
      <w:r w:rsidR="00C12E19">
        <w:t xml:space="preserve"> </w:t>
      </w:r>
      <w:r>
        <w:t xml:space="preserve">Indexes, </w:t>
      </w:r>
      <w:r w:rsidRPr="00455E1B">
        <w:rPr>
          <w:b/>
        </w:rPr>
        <w:t>UE will monitor ALL the SSB index occasions in SMTC</w:t>
      </w:r>
      <w:r>
        <w:t xml:space="preserve"> regardless of </w:t>
      </w:r>
      <w:r w:rsidRPr="00455E1B">
        <w:rPr>
          <w:i/>
        </w:rPr>
        <w:t>SSB-ToMeasure</w:t>
      </w:r>
      <w:r>
        <w:t xml:space="preserve">  configuration to check if there is a SSB index present. If yes, it will have to decode </w:t>
      </w:r>
      <w:r w:rsidR="00237F1E">
        <w:t>the SSB</w:t>
      </w:r>
      <w:r>
        <w:t xml:space="preserve"> to get its SSB index</w:t>
      </w:r>
      <w:r w:rsidR="006D0B6F">
        <w:t>, which the UE</w:t>
      </w:r>
      <w:r>
        <w:t xml:space="preserve"> will then report if </w:t>
      </w:r>
      <w:r w:rsidR="006D0B6F">
        <w:t xml:space="preserve">the index is given in the </w:t>
      </w:r>
      <w:r w:rsidRPr="00C12E19">
        <w:rPr>
          <w:i/>
        </w:rPr>
        <w:t>SSB-ToMeasure</w:t>
      </w:r>
      <w:r>
        <w:t>.</w:t>
      </w:r>
    </w:p>
    <w:p w14:paraId="1318CAA6" w14:textId="151CFEA0" w:rsidR="00455E1B" w:rsidRDefault="00455E1B" w:rsidP="009E3CBE">
      <w:r>
        <w:t xml:space="preserve">In this case, </w:t>
      </w:r>
      <w:r w:rsidR="00C12E19">
        <w:t xml:space="preserve">the role of </w:t>
      </w:r>
      <w:r w:rsidRPr="00455E1B">
        <w:rPr>
          <w:i/>
        </w:rPr>
        <w:t>SSB-ToMeasure</w:t>
      </w:r>
      <w:r>
        <w:t xml:space="preserve"> is only to prevent some SSB index to be used for reporting and event trigger evaluation.</w:t>
      </w:r>
    </w:p>
    <w:p w14:paraId="7F1F774E" w14:textId="40366B7D" w:rsidR="00FF5756" w:rsidRDefault="00FF5756" w:rsidP="00FF5756">
      <w:r>
        <w:t xml:space="preserve">If the SSB-ToMeasure is based on the SMTC position, </w:t>
      </w:r>
      <w:r w:rsidRPr="00455E1B">
        <w:rPr>
          <w:b/>
        </w:rPr>
        <w:t>UE will monitor ONLY the SSB index</w:t>
      </w:r>
      <w:r w:rsidR="004506F4">
        <w:t xml:space="preserve"> </w:t>
      </w:r>
      <w:r w:rsidR="00455E1B">
        <w:t xml:space="preserve">configured in </w:t>
      </w:r>
      <w:r w:rsidR="00455E1B" w:rsidRPr="00455E1B">
        <w:rPr>
          <w:i/>
        </w:rPr>
        <w:t>SSB-ToMeasure</w:t>
      </w:r>
      <w:r w:rsidR="00455E1B">
        <w:t xml:space="preserve">  to</w:t>
      </w:r>
      <w:r w:rsidR="004506F4">
        <w:t xml:space="preserve"> check if a SSB is present. It will report it if detected.</w:t>
      </w:r>
    </w:p>
    <w:p w14:paraId="02C66BF0" w14:textId="7051257A" w:rsidR="00455E1B" w:rsidRDefault="00455E1B" w:rsidP="00FF5756">
      <w:r w:rsidRPr="00455E1B">
        <w:rPr>
          <w:b/>
        </w:rPr>
        <w:t>Observation 3</w:t>
      </w:r>
      <w:r>
        <w:t xml:space="preserve">: if SSB index are based on absolute SSBIndexes for </w:t>
      </w:r>
      <w:r w:rsidRPr="00455E1B">
        <w:rPr>
          <w:i/>
        </w:rPr>
        <w:t>SSB-ToMeasure</w:t>
      </w:r>
      <w:r>
        <w:t xml:space="preserve">, the UE will anyway make measurement and ALL SSB indexes, but will report only the one configured in </w:t>
      </w:r>
      <w:r w:rsidRPr="00455E1B">
        <w:rPr>
          <w:i/>
        </w:rPr>
        <w:t>SSB-ToMeasure</w:t>
      </w:r>
    </w:p>
    <w:p w14:paraId="3623A18F" w14:textId="5FC292C1" w:rsidR="00455E1B" w:rsidRDefault="00E308A6" w:rsidP="00FF5756">
      <w:r>
        <w:t xml:space="preserve">The IE SSB-ToMeasure is also present in SIB2 and SIB4 for the measurement of neighbouring cell. </w:t>
      </w:r>
    </w:p>
    <w:p w14:paraId="2CF73D3E" w14:textId="72BC1246" w:rsidR="00455E1B" w:rsidRDefault="001A69B0" w:rsidP="00455E1B">
      <w:pPr>
        <w:pStyle w:val="Heading2"/>
      </w:pPr>
      <w:r>
        <w:t>2</w:t>
      </w:r>
      <w:r w:rsidR="00455E1B" w:rsidRPr="006E13D1">
        <w:t>.</w:t>
      </w:r>
      <w:r w:rsidR="00455E1B">
        <w:t>4</w:t>
      </w:r>
      <w:r w:rsidR="00455E1B" w:rsidRPr="006E13D1">
        <w:tab/>
      </w:r>
      <w:r w:rsidR="00455E1B">
        <w:t>Proposals</w:t>
      </w:r>
    </w:p>
    <w:p w14:paraId="3BA8B3AE" w14:textId="3A21BA64" w:rsidR="00455E1B" w:rsidRDefault="00455E1B" w:rsidP="00455E1B">
      <w:r>
        <w:t xml:space="preserve">Based on the analysis above, we think that RAN2 should </w:t>
      </w:r>
      <w:r w:rsidR="001A69B0">
        <w:t>consider all the consequences of the use of the decision made in RAN2#108 and reconsider the decision if needed.</w:t>
      </w:r>
    </w:p>
    <w:p w14:paraId="3AF858A8" w14:textId="42593591" w:rsidR="001A69B0" w:rsidRDefault="001A69B0" w:rsidP="00455E1B">
      <w:r w:rsidRPr="001A69B0">
        <w:rPr>
          <w:b/>
        </w:rPr>
        <w:t>Proposal</w:t>
      </w:r>
      <w:r w:rsidR="00B472F3">
        <w:rPr>
          <w:b/>
        </w:rPr>
        <w:t xml:space="preserve"> 1</w:t>
      </w:r>
      <w:r>
        <w:t xml:space="preserve">: RAN2 should consider all the consequences of using </w:t>
      </w:r>
      <w:r w:rsidRPr="001A69B0">
        <w:t xml:space="preserve">absolute </w:t>
      </w:r>
      <w:r w:rsidRPr="00414DC1">
        <w:rPr>
          <w:i/>
        </w:rPr>
        <w:t>SSB</w:t>
      </w:r>
      <w:r w:rsidR="00E3045A" w:rsidRPr="00414DC1">
        <w:rPr>
          <w:i/>
        </w:rPr>
        <w:t>-</w:t>
      </w:r>
      <w:r w:rsidRPr="00414DC1">
        <w:rPr>
          <w:i/>
        </w:rPr>
        <w:t>Index</w:t>
      </w:r>
      <w:r w:rsidRPr="001A69B0">
        <w:t>es</w:t>
      </w:r>
      <w:r>
        <w:t xml:space="preserve"> for</w:t>
      </w:r>
      <w:r w:rsidR="00C12E19">
        <w:t xml:space="preserve"> </w:t>
      </w:r>
      <w:r w:rsidRPr="00414DC1">
        <w:rPr>
          <w:i/>
        </w:rPr>
        <w:t>SSB-ToMeasure</w:t>
      </w:r>
      <w:r>
        <w:t xml:space="preserve">. </w:t>
      </w:r>
    </w:p>
    <w:p w14:paraId="4F547731" w14:textId="49F1427D" w:rsidR="00A209D6" w:rsidRPr="00B83566" w:rsidRDefault="008619D6" w:rsidP="00A209D6">
      <w:r w:rsidRPr="00B83566">
        <w:rPr>
          <w:b/>
          <w:bCs/>
        </w:rPr>
        <w:lastRenderedPageBreak/>
        <w:t>Proposal 2:</w:t>
      </w:r>
      <w:r>
        <w:t xml:space="preserve"> </w:t>
      </w:r>
      <w:r w:rsidR="005B2F99">
        <w:t xml:space="preserve">Clarify in </w:t>
      </w:r>
      <w:r w:rsidR="0044211F">
        <w:t>IE</w:t>
      </w:r>
      <w:r w:rsidR="00805CB4">
        <w:t xml:space="preserve"> description of </w:t>
      </w:r>
      <w:r w:rsidR="00B83566" w:rsidRPr="00B83566">
        <w:rPr>
          <w:i/>
          <w:iCs/>
        </w:rPr>
        <w:t>SSB-ToMeasure</w:t>
      </w:r>
      <w:r w:rsidR="001D10DD">
        <w:rPr>
          <w:i/>
          <w:iCs/>
        </w:rPr>
        <w:t xml:space="preserve"> </w:t>
      </w:r>
      <w:r w:rsidR="001D10DD">
        <w:t>that absolute SSB indexes are used</w:t>
      </w:r>
      <w:r w:rsidR="00B83566">
        <w:t>.</w:t>
      </w:r>
    </w:p>
    <w:p w14:paraId="5FF2457F" w14:textId="78C3CC8C" w:rsidR="00A209D6" w:rsidRPr="006E13D1" w:rsidRDefault="001A69B0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0449C3F" w14:textId="05F45F83" w:rsidR="00A209D6" w:rsidRDefault="00C12E19" w:rsidP="00A209D6">
      <w:r>
        <w:br/>
        <w:t>In this document we made the following bservations:</w:t>
      </w:r>
    </w:p>
    <w:p w14:paraId="6DC3371B" w14:textId="77777777" w:rsidR="00C12E19" w:rsidRDefault="00C12E19" w:rsidP="00C12E19">
      <w:r w:rsidRPr="00455E1B">
        <w:rPr>
          <w:b/>
        </w:rPr>
        <w:t>Observation 1</w:t>
      </w:r>
      <w:r>
        <w:t>: When the cells can be aligned to frame boundary there is no reason not to align the SSB index as well between cells (align SFN).</w:t>
      </w:r>
    </w:p>
    <w:p w14:paraId="6F33A7D4" w14:textId="77777777" w:rsidR="00C12E19" w:rsidRDefault="00C12E19" w:rsidP="00C12E19">
      <w:r w:rsidRPr="00455E1B">
        <w:rPr>
          <w:b/>
        </w:rPr>
        <w:t xml:space="preserve">Observation </w:t>
      </w:r>
      <w:r>
        <w:rPr>
          <w:b/>
        </w:rPr>
        <w:t>2</w:t>
      </w:r>
      <w:r>
        <w:t xml:space="preserve">: In the example given in </w:t>
      </w:r>
      <w:hyperlink r:id="rId18" w:history="1">
        <w:r w:rsidRPr="00870E33">
          <w:rPr>
            <w:rStyle w:val="Hyperlink"/>
          </w:rPr>
          <w:t>R2-1915423</w:t>
        </w:r>
      </w:hyperlink>
      <w:r>
        <w:t xml:space="preserve">, </w:t>
      </w:r>
      <w:r w:rsidRPr="001A69B0">
        <w:rPr>
          <w:i/>
        </w:rPr>
        <w:t>deriveSSB-IndexFromCell</w:t>
      </w:r>
      <w:r>
        <w:t xml:space="preserve"> option can’t be used.</w:t>
      </w:r>
    </w:p>
    <w:p w14:paraId="335EC5B4" w14:textId="77777777" w:rsidR="00C12E19" w:rsidRDefault="00C12E19" w:rsidP="00C12E19">
      <w:r w:rsidRPr="00455E1B">
        <w:rPr>
          <w:b/>
        </w:rPr>
        <w:t>Observation 3</w:t>
      </w:r>
      <w:r>
        <w:t xml:space="preserve">: if SSB index are based on absolute SSBIndexes for </w:t>
      </w:r>
      <w:r w:rsidRPr="00455E1B">
        <w:rPr>
          <w:i/>
        </w:rPr>
        <w:t>SSB-ToMeasure</w:t>
      </w:r>
      <w:r>
        <w:t xml:space="preserve">, the UE will anyway make measurement and ALL SSB indexes, but will report only the one configured in </w:t>
      </w:r>
      <w:r w:rsidRPr="00455E1B">
        <w:rPr>
          <w:i/>
        </w:rPr>
        <w:t>SSB-ToMeasure</w:t>
      </w:r>
    </w:p>
    <w:p w14:paraId="7C237CB2" w14:textId="5622CCD1" w:rsidR="00C12E19" w:rsidRPr="00C12E19" w:rsidRDefault="00C12E19" w:rsidP="00C12E19">
      <w:r w:rsidRPr="00C12E19">
        <w:t>And made the following proposal:</w:t>
      </w:r>
    </w:p>
    <w:p w14:paraId="67364656" w14:textId="0CF009BB" w:rsidR="00C12E19" w:rsidRDefault="00C12E19" w:rsidP="00C12E19">
      <w:r w:rsidRPr="001A69B0">
        <w:rPr>
          <w:b/>
        </w:rPr>
        <w:t>Proposal</w:t>
      </w:r>
      <w:r w:rsidR="00B83566">
        <w:rPr>
          <w:b/>
        </w:rPr>
        <w:t xml:space="preserve"> 1</w:t>
      </w:r>
      <w:r>
        <w:t xml:space="preserve">: RAN2 should consider all the consequences of using </w:t>
      </w:r>
      <w:r w:rsidRPr="001A69B0">
        <w:t>absolute SSBIndexes</w:t>
      </w:r>
      <w:r>
        <w:t xml:space="preserve"> for </w:t>
      </w:r>
      <w:r w:rsidRPr="001A69B0">
        <w:t>SSB-ToMeasure</w:t>
      </w:r>
      <w:r>
        <w:t xml:space="preserve">. </w:t>
      </w:r>
    </w:p>
    <w:p w14:paraId="53497A11" w14:textId="58A02455" w:rsidR="001D10DD" w:rsidRPr="00B83566" w:rsidRDefault="001D10DD" w:rsidP="001D10DD">
      <w:r w:rsidRPr="00B83566">
        <w:rPr>
          <w:b/>
          <w:bCs/>
        </w:rPr>
        <w:t>Proposal 2:</w:t>
      </w:r>
      <w:r>
        <w:t xml:space="preserve"> Clarify in </w:t>
      </w:r>
      <w:r w:rsidR="0044211F">
        <w:t>IE</w:t>
      </w:r>
      <w:r>
        <w:t xml:space="preserve"> description of </w:t>
      </w:r>
      <w:r w:rsidRPr="00B83566">
        <w:rPr>
          <w:i/>
          <w:iCs/>
        </w:rPr>
        <w:t>SSB-ToMeasure</w:t>
      </w:r>
      <w:r>
        <w:rPr>
          <w:i/>
          <w:iCs/>
        </w:rPr>
        <w:t xml:space="preserve"> </w:t>
      </w:r>
      <w:r>
        <w:t>that absolute SSB indexes are used.</w:t>
      </w:r>
    </w:p>
    <w:p w14:paraId="0B00CE8E" w14:textId="77777777" w:rsidR="00C12E19" w:rsidRPr="006E13D1" w:rsidRDefault="00C12E19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CF81D" w14:textId="77777777" w:rsidR="00705CC3" w:rsidRDefault="00705CC3">
      <w:r>
        <w:separator/>
      </w:r>
    </w:p>
  </w:endnote>
  <w:endnote w:type="continuationSeparator" w:id="0">
    <w:p w14:paraId="3EA32728" w14:textId="77777777" w:rsidR="00705CC3" w:rsidRDefault="00705CC3">
      <w:r>
        <w:continuationSeparator/>
      </w:r>
    </w:p>
  </w:endnote>
  <w:endnote w:type="continuationNotice" w:id="1">
    <w:p w14:paraId="7918D779" w14:textId="77777777" w:rsidR="00705CC3" w:rsidRDefault="00705C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F40B2" w14:textId="77777777" w:rsidR="00705CC3" w:rsidRDefault="00705CC3">
      <w:r>
        <w:separator/>
      </w:r>
    </w:p>
  </w:footnote>
  <w:footnote w:type="continuationSeparator" w:id="0">
    <w:p w14:paraId="330AEF7F" w14:textId="77777777" w:rsidR="00705CC3" w:rsidRDefault="00705CC3">
      <w:r>
        <w:continuationSeparator/>
      </w:r>
    </w:p>
  </w:footnote>
  <w:footnote w:type="continuationNotice" w:id="1">
    <w:p w14:paraId="27865462" w14:textId="77777777" w:rsidR="00705CC3" w:rsidRDefault="00705C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7D5247"/>
    <w:multiLevelType w:val="hybridMultilevel"/>
    <w:tmpl w:val="547C70FC"/>
    <w:lvl w:ilvl="0" w:tplc="5094A96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73C9C"/>
    <w:rsid w:val="00080512"/>
    <w:rsid w:val="00090468"/>
    <w:rsid w:val="00094568"/>
    <w:rsid w:val="000B7BCF"/>
    <w:rsid w:val="000C522B"/>
    <w:rsid w:val="000D58AB"/>
    <w:rsid w:val="00112F1A"/>
    <w:rsid w:val="00145075"/>
    <w:rsid w:val="001741A0"/>
    <w:rsid w:val="00175FA0"/>
    <w:rsid w:val="00181E07"/>
    <w:rsid w:val="00194CD0"/>
    <w:rsid w:val="001A69B0"/>
    <w:rsid w:val="001B49C9"/>
    <w:rsid w:val="001C23F4"/>
    <w:rsid w:val="001C4F79"/>
    <w:rsid w:val="001D10DD"/>
    <w:rsid w:val="001F168B"/>
    <w:rsid w:val="001F7831"/>
    <w:rsid w:val="00204045"/>
    <w:rsid w:val="0020712B"/>
    <w:rsid w:val="00215CFF"/>
    <w:rsid w:val="0022606D"/>
    <w:rsid w:val="00231728"/>
    <w:rsid w:val="00237F1E"/>
    <w:rsid w:val="00250404"/>
    <w:rsid w:val="002610D8"/>
    <w:rsid w:val="002747EC"/>
    <w:rsid w:val="002855BF"/>
    <w:rsid w:val="002F0D22"/>
    <w:rsid w:val="00311B17"/>
    <w:rsid w:val="003172DC"/>
    <w:rsid w:val="00325AE3"/>
    <w:rsid w:val="00326069"/>
    <w:rsid w:val="0035462D"/>
    <w:rsid w:val="00364B41"/>
    <w:rsid w:val="00383096"/>
    <w:rsid w:val="003A41EF"/>
    <w:rsid w:val="003B40AD"/>
    <w:rsid w:val="003C4E37"/>
    <w:rsid w:val="003D3144"/>
    <w:rsid w:val="003E16BE"/>
    <w:rsid w:val="003F4E28"/>
    <w:rsid w:val="004006E8"/>
    <w:rsid w:val="00401855"/>
    <w:rsid w:val="00414DC1"/>
    <w:rsid w:val="0044211F"/>
    <w:rsid w:val="004506F4"/>
    <w:rsid w:val="00455E1B"/>
    <w:rsid w:val="00465587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66CF2"/>
    <w:rsid w:val="005B2F99"/>
    <w:rsid w:val="00611566"/>
    <w:rsid w:val="00646D99"/>
    <w:rsid w:val="00656910"/>
    <w:rsid w:val="006574C0"/>
    <w:rsid w:val="00681F53"/>
    <w:rsid w:val="006C66D8"/>
    <w:rsid w:val="006D0B6F"/>
    <w:rsid w:val="006D1E24"/>
    <w:rsid w:val="006E1417"/>
    <w:rsid w:val="006F6A2C"/>
    <w:rsid w:val="00705CC3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B18D8"/>
    <w:rsid w:val="007C095F"/>
    <w:rsid w:val="007C2DD0"/>
    <w:rsid w:val="007F2E08"/>
    <w:rsid w:val="008028A4"/>
    <w:rsid w:val="00805CB4"/>
    <w:rsid w:val="00813245"/>
    <w:rsid w:val="00824D28"/>
    <w:rsid w:val="008364BE"/>
    <w:rsid w:val="00840DE0"/>
    <w:rsid w:val="008619D6"/>
    <w:rsid w:val="0086354A"/>
    <w:rsid w:val="00870E33"/>
    <w:rsid w:val="008768CA"/>
    <w:rsid w:val="00877EF9"/>
    <w:rsid w:val="00880559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57B96"/>
    <w:rsid w:val="00961B32"/>
    <w:rsid w:val="00962509"/>
    <w:rsid w:val="00970DB3"/>
    <w:rsid w:val="00974BB0"/>
    <w:rsid w:val="00975BCD"/>
    <w:rsid w:val="009A0AF3"/>
    <w:rsid w:val="009B07CD"/>
    <w:rsid w:val="009B2935"/>
    <w:rsid w:val="009C19E9"/>
    <w:rsid w:val="009C4203"/>
    <w:rsid w:val="009D74A6"/>
    <w:rsid w:val="009E3CBE"/>
    <w:rsid w:val="00A10F02"/>
    <w:rsid w:val="00A204CA"/>
    <w:rsid w:val="00A209D6"/>
    <w:rsid w:val="00A45264"/>
    <w:rsid w:val="00A53724"/>
    <w:rsid w:val="00A54B2B"/>
    <w:rsid w:val="00A82346"/>
    <w:rsid w:val="00A9671C"/>
    <w:rsid w:val="00AA1553"/>
    <w:rsid w:val="00B05380"/>
    <w:rsid w:val="00B05962"/>
    <w:rsid w:val="00B11189"/>
    <w:rsid w:val="00B15449"/>
    <w:rsid w:val="00B16C2F"/>
    <w:rsid w:val="00B27303"/>
    <w:rsid w:val="00B472F3"/>
    <w:rsid w:val="00B47FD1"/>
    <w:rsid w:val="00B516BB"/>
    <w:rsid w:val="00B71706"/>
    <w:rsid w:val="00B83566"/>
    <w:rsid w:val="00B84DB2"/>
    <w:rsid w:val="00BC3555"/>
    <w:rsid w:val="00C12B51"/>
    <w:rsid w:val="00C12E19"/>
    <w:rsid w:val="00C24650"/>
    <w:rsid w:val="00C25465"/>
    <w:rsid w:val="00C33079"/>
    <w:rsid w:val="00C537C3"/>
    <w:rsid w:val="00C83A13"/>
    <w:rsid w:val="00C9068C"/>
    <w:rsid w:val="00C92967"/>
    <w:rsid w:val="00CA3D0C"/>
    <w:rsid w:val="00CA654B"/>
    <w:rsid w:val="00CB72B8"/>
    <w:rsid w:val="00CD4C7B"/>
    <w:rsid w:val="00CD58FE"/>
    <w:rsid w:val="00CE6307"/>
    <w:rsid w:val="00D33BE3"/>
    <w:rsid w:val="00D3792D"/>
    <w:rsid w:val="00D55E47"/>
    <w:rsid w:val="00D62E19"/>
    <w:rsid w:val="00D633BF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3045A"/>
    <w:rsid w:val="00E308A6"/>
    <w:rsid w:val="00E36682"/>
    <w:rsid w:val="00E46C08"/>
    <w:rsid w:val="00E471CF"/>
    <w:rsid w:val="00E62835"/>
    <w:rsid w:val="00E77645"/>
    <w:rsid w:val="00E815F6"/>
    <w:rsid w:val="00E83697"/>
    <w:rsid w:val="00EA66C9"/>
    <w:rsid w:val="00EC4A25"/>
    <w:rsid w:val="00EF787D"/>
    <w:rsid w:val="00F025A2"/>
    <w:rsid w:val="00F036E9"/>
    <w:rsid w:val="00F07388"/>
    <w:rsid w:val="00F2026E"/>
    <w:rsid w:val="00F2210A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97911"/>
    <w:rsid w:val="00FA1266"/>
    <w:rsid w:val="00FB36FA"/>
    <w:rsid w:val="00FC1192"/>
    <w:rsid w:val="00FE251B"/>
    <w:rsid w:val="00FF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70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870E33"/>
    <w:rPr>
      <w:rFonts w:ascii="Arial" w:hAnsi="Arial" w:cs="Arial"/>
      <w:szCs w:val="24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870E33"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val="x-none" w:eastAsia="x-none"/>
    </w:rPr>
  </w:style>
  <w:style w:type="paragraph" w:customStyle="1" w:styleId="Agreement">
    <w:name w:val="Agreement"/>
    <w:basedOn w:val="Normal"/>
    <w:next w:val="Doc-text2"/>
    <w:qFormat/>
    <w:rsid w:val="00870E33"/>
    <w:pPr>
      <w:numPr>
        <w:numId w:val="8"/>
      </w:numPr>
      <w:spacing w:before="60" w:after="0"/>
    </w:pPr>
    <w:rPr>
      <w:rFonts w:ascii="Arial" w:hAnsi="Arial"/>
      <w:b/>
      <w:szCs w:val="24"/>
      <w:lang w:eastAsia="ja-JP"/>
    </w:rPr>
  </w:style>
  <w:style w:type="character" w:customStyle="1" w:styleId="Doc-titleChar">
    <w:name w:val="Doc-title Char"/>
    <w:link w:val="Doc-title"/>
    <w:qFormat/>
    <w:locked/>
    <w:rsid w:val="00870E33"/>
    <w:rPr>
      <w:rFonts w:ascii="Arial" w:hAnsi="Arial" w:cs="Arial"/>
      <w:noProof/>
      <w:szCs w:val="24"/>
      <w:lang w:val="x-none" w:eastAsia="x-none"/>
    </w:rPr>
  </w:style>
  <w:style w:type="paragraph" w:customStyle="1" w:styleId="Doc-title">
    <w:name w:val="Doc-title"/>
    <w:basedOn w:val="Normal"/>
    <w:next w:val="Doc-text2"/>
    <w:link w:val="Doc-titleChar"/>
    <w:qFormat/>
    <w:rsid w:val="00870E33"/>
    <w:pPr>
      <w:spacing w:before="60" w:after="0"/>
      <w:ind w:left="1259" w:hanging="1259"/>
    </w:pPr>
    <w:rPr>
      <w:rFonts w:ascii="Arial" w:hAnsi="Arial" w:cs="Arial"/>
      <w:noProof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957B96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450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506F4"/>
    <w:rPr>
      <w:rFonts w:ascii="Courier New" w:hAnsi="Courier New" w:cs="Courier New"/>
      <w:lang w:val="fr-FR" w:eastAsia="zh-CN"/>
    </w:rPr>
  </w:style>
  <w:style w:type="character" w:styleId="CommentReference">
    <w:name w:val="annotation reference"/>
    <w:basedOn w:val="DefaultParagraphFont"/>
    <w:rsid w:val="00681F5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1F53"/>
  </w:style>
  <w:style w:type="character" w:customStyle="1" w:styleId="CommentTextChar">
    <w:name w:val="Comment Text Char"/>
    <w:basedOn w:val="DefaultParagraphFont"/>
    <w:link w:val="CommentText"/>
    <w:rsid w:val="00681F5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81F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81F5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Meetings_3GPP_SYNC/RAN2/Docs/R2-1915423.zip" TargetMode="External"/><Relationship Id="rId18" Type="http://schemas.openxmlformats.org/officeDocument/2006/relationships/hyperlink" Target="https://www.3gpp.org/ftp/Meetings_3GPP_SYNC/RAN2/Docs/R2-1915423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Meetings_3GPP_SYNC/RAN2/Docs/R2-1915423.zip" TargetMode="Externa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Meetings_3GPP_SYNC/RAN2/Docs/R2-1915423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Meetings_3GPP_SYNC/RAN2/Docs/R2-1915423.zip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Meetings_3GPP_SYNC/RAN2/Docs/R2-191542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5AIRPNAIUNRU-859666464-5992</_dlc_DocId>
    <_dlc_DocIdUrl xmlns="71c5aaf6-e6ce-465b-b873-5148d2a4c105">
      <Url>https://nokia.sharepoint.com/sites/c5g/e2earch/_layouts/15/DocIdRedir.aspx?ID=5AIRPNAIUNRU-859666464-5992</Url>
      <Description>5AIRPNAIUNRU-859666464-5992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B44E0EA-F59A-4FB7-8880-0CE485983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1186</TotalTime>
  <Pages>3</Pages>
  <Words>879</Words>
  <Characters>4770</Characters>
  <Application>Microsoft Office Word</Application>
  <DocSecurity>0</DocSecurity>
  <Lines>183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5508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Nokia, Nokia Shanghai Bell</cp:lastModifiedBy>
  <cp:revision>94</cp:revision>
  <dcterms:created xsi:type="dcterms:W3CDTF">2016-08-12T03:53:00Z</dcterms:created>
  <dcterms:modified xsi:type="dcterms:W3CDTF">2020-02-13T15:17:00Z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d9ede83f-bb37-4e5c-a583-80c68870f5e1</vt:lpwstr>
  </property>
</Properties>
</file>